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生成式人工智能辅助学术写作的应用边界与规范研究</w:t>
      </w:r>
    </w:p>
    <w:p>
      <w:r>
        <w:t>摘 要：本文讨论生成式人工智能在学术写作中的辅助作用，并分析表达同质化、事实核验与作者责任等问题。</w:t>
      </w:r>
    </w:p>
    <w:p>
      <w:r>
        <w:t>关键词：生成式人工智能；学术写作；文本优化；研究规范</w:t>
      </w:r>
    </w:p>
    <w:p>
      <w:pPr>
        <w:pStyle w:val="Heading1"/>
      </w:pPr>
      <w:r>
        <w:t>1 引言</w:t>
      </w:r>
    </w:p>
    <w:p>
      <w:pPr>
        <w:spacing w:line="360" w:lineRule="auto"/>
        <w:ind w:firstLine="480"/>
      </w:pPr>
      <w:r>
        <w:t>近年来，生成式人工智能逐渐进入文献整理、语言润色和结构梳理等研究环节。值得注意的是，这类工具能够提高部分重复性工作的处理速度，但其生成文本也可能出现句式均衡、衔接模板化和空泛拔高等问题。</w:t>
      </w:r>
    </w:p>
    <w:p>
      <w:pPr>
        <w:pStyle w:val="Heading1"/>
      </w:pPr>
      <w:r>
        <w:t>2 学术写作中的应用</w:t>
      </w:r>
    </w:p>
    <w:p>
      <w:pPr>
        <w:spacing w:line="360" w:lineRule="auto"/>
        <w:ind w:firstLine="480"/>
      </w:pPr>
      <w:r>
        <w:t>在语言修改阶段，人工智能可以识别重复表达和冗长句式，但通用模型有时会使用过度完整的总分结构以及频繁的价值判断词。这样的文本表面流畅，却可能削弱作者原有的学术语感。</w:t>
      </w:r>
    </w:p>
    <w:p>
      <w:pPr>
        <w:pStyle w:val="Heading1"/>
      </w:pPr>
      <w:r>
        <w:t>3 AI 痕迹与学术语体</w:t>
      </w:r>
    </w:p>
    <w:p>
      <w:pPr>
        <w:spacing w:line="360" w:lineRule="auto"/>
        <w:ind w:firstLine="480"/>
      </w:pPr>
      <w:r>
        <w:t>正式、复杂或语法规范并不等同于 AI 痕迹。真正需要关注的是多种模板化现象同时出现，例如连续使用预告性表达、重复固定句式，以及在缺乏证据时加入空泛的重要性判断。</w:t>
      </w:r>
    </w:p>
    <w:p>
      <w:r>
        <w:rPr>
          <w:b/>
        </w:rPr>
        <w:t>Example 1</w:t>
      </w:r>
    </w:p>
    <w:p>
      <w:r>
        <w:t>ST: 学而时习之，不亦说乎？有朋自远方来，不亦乐乎？</w:t>
      </w:r>
    </w:p>
    <w:p>
      <w:r>
        <w:t>Original translation: Is it not pleasant to learn with a constant perseverance and application?</w:t>
      </w:r>
    </w:p>
    <w:p>
      <w:r>
        <w:t>译文：学习之后按时温习，不也是一件令人愉快的事吗？</w:t>
      </w:r>
    </w:p>
    <w:p/>
    <w:p>
      <w:pPr>
        <w:ind w:firstLine="480"/>
      </w:pPr>
      <w:r>
        <w:t>上述例句仅作为研究对象。本文关注的是作者分析部分的语言模式，而不是改变被引用的原文或译文。值得注意的是，研究工具应当在不触碰研究语料的前提下完成局部文本优化。</w:t>
      </w:r>
    </w:p>
    <w:p>
      <w:pPr>
        <w:pStyle w:val="Heading1"/>
      </w:pPr>
      <w:r>
        <w:t>4 数据说明</w:t>
      </w:r>
    </w:p>
    <w:p>
      <w:r>
        <w:t>Table 1. 示例统计结果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组别</w:t>
            </w:r>
          </w:p>
        </w:tc>
        <w:tc>
          <w:tcPr>
            <w:tcW w:type="dxa" w:w="2880"/>
          </w:tcPr>
          <w:p>
            <w:r>
              <w:t>N</w:t>
            </w:r>
          </w:p>
        </w:tc>
        <w:tc>
          <w:tcPr>
            <w:tcW w:type="dxa" w:w="2880"/>
          </w:tcPr>
          <w:p>
            <w:r>
              <w:t>Mean</w:t>
            </w:r>
          </w:p>
        </w:tc>
      </w:tr>
      <w:tr>
        <w:tc>
          <w:tcPr>
            <w:tcW w:type="dxa" w:w="2880"/>
          </w:tcPr>
          <w:p>
            <w:r>
              <w:t>A</w:t>
            </w:r>
          </w:p>
        </w:tc>
        <w:tc>
          <w:tcPr>
            <w:tcW w:type="dxa" w:w="2880"/>
          </w:tcPr>
          <w:p>
            <w:r>
              <w:t>120</w:t>
            </w:r>
          </w:p>
        </w:tc>
        <w:tc>
          <w:tcPr>
            <w:tcW w:type="dxa" w:w="2880"/>
          </w:tcPr>
          <w:p>
            <w:r>
              <w:t>3.42</w:t>
            </w:r>
          </w:p>
        </w:tc>
      </w:tr>
      <w:tr>
        <w:tc>
          <w:tcPr>
            <w:tcW w:type="dxa" w:w="2880"/>
          </w:tcPr>
          <w:p>
            <w:r>
              <w:t>B</w:t>
            </w:r>
          </w:p>
        </w:tc>
        <w:tc>
          <w:tcPr>
            <w:tcW w:type="dxa" w:w="2880"/>
          </w:tcPr>
          <w:p>
            <w:r>
              <w:t>118</w:t>
            </w:r>
          </w:p>
        </w:tc>
        <w:tc>
          <w:tcPr>
            <w:tcW w:type="dxa" w:w="2880"/>
          </w:tcPr>
          <w:p>
            <w:r>
              <w:t>3.17</w:t>
            </w:r>
          </w:p>
        </w:tc>
      </w:tr>
    </w:tbl>
    <w:p>
      <w:pPr>
        <w:ind w:firstLine="480"/>
      </w:pPr>
      <w:r>
        <w:t>表中数据用于说明两组样本的基本情况。结果部分只需要保持客观、直接的学术表达，不应额外加入缺乏证据的重要性判断。</w:t>
      </w:r>
    </w:p>
    <w:p>
      <w:pPr>
        <w:pStyle w:val="Heading1"/>
      </w:pPr>
      <w:r>
        <w:t>5 结论</w:t>
      </w:r>
    </w:p>
    <w:p>
      <w:r>
        <w:t>生成式人工智能适合作为写作辅助工具，而不应替代研究者的事实判断和论证责任。合理的文本优化应修正具体的机器化表达，同时保留论文的学术语体和作者声音。</w:t>
      </w:r>
    </w:p>
    <w:p>
      <w:r>
        <w:t>参考文献</w:t>
      </w:r>
    </w:p>
    <w:p>
      <w:r>
        <w:t>[1] 张三. 生成式人工智能与学术写作规范研究[J]. 示例期刊, 2026, 12(3): 15-28.</w:t>
      </w:r>
    </w:p>
    <w:p>
      <w:r>
        <w:t>[2] Smith J. Generative AI and academic authorship[J]. Example Studies, 2025, 18(2): 45-61.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